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3E1B8A"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Quality Improvement</w:t>
      </w:r>
      <w:r w:rsidR="00824663">
        <w:rPr>
          <w:rFonts w:ascii="Times New Roman" w:hAnsi="Times New Roman" w:cs="Times New Roman"/>
          <w:sz w:val="24"/>
          <w:szCs w:val="24"/>
        </w:rPr>
        <w:t xml:space="preserve"> on Patient Falls</w:t>
      </w: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w:t>
      </w:r>
      <w:r w:rsidR="00824663">
        <w:rPr>
          <w:rFonts w:ascii="Times New Roman" w:hAnsi="Times New Roman" w:cs="Times New Roman"/>
          <w:sz w:val="24"/>
          <w:szCs w:val="24"/>
        </w:rPr>
        <w:t xml:space="preserve"> on Patient Falls</w:t>
      </w:r>
    </w:p>
    <w:p w:rsidR="00C11270" w:rsidRPr="00544661" w:rsidRDefault="00824663" w:rsidP="00824663">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Protocol Deviations and Missed Steps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Description of the Event</w:t>
      </w:r>
    </w:p>
    <w:p w:rsidR="00544661" w:rsidRPr="00544661" w:rsidRDefault="00544661" w:rsidP="00544661">
      <w:pPr>
        <w:spacing w:line="480" w:lineRule="auto"/>
        <w:ind w:firstLine="720"/>
        <w:rPr>
          <w:rFonts w:ascii="Times New Roman" w:hAnsi="Times New Roman" w:cs="Times New Roman"/>
          <w:sz w:val="24"/>
          <w:szCs w:val="24"/>
        </w:rPr>
      </w:pPr>
      <w:r w:rsidRPr="00544661">
        <w:rPr>
          <w:rFonts w:ascii="Times New Roman" w:hAnsi="Times New Roman" w:cs="Times New Roman"/>
          <w:sz w:val="24"/>
          <w:szCs w:val="24"/>
        </w:rPr>
        <w:t xml:space="preserve">In my professional experience, I have witnessed a patient fall, and the impact of the event was adverse since he sustained a head injury that leads to internal bleeding. The patient fall resulted from medical management since there was no one to oversee his actions. The patient had asked the nurse in charge that he was not feeling good being confined in the room and wanted to go outside to breathe some fresh air. The patients had requested this for assistance thrice; however, the nurse was caught up with other nursing duties. In this regard, the nurse continued disregarding him, thinking that he was just demanding. She had just administered him with a high medication and thought that it was not appropriate to be mobile at that time. Besides, the nurse presumed that nothing could go wrong since she knew that the beds had alarms in case the patient tried to leave his bed. The patient grew impatient and decided to go by himself since his requests were not being taken into account. Unfortunately, the nurse had set the bed, and the patient was able to leave his bed. On the hospital corridors, the patient fell abruptly due to the severe impacts of the medication.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Missed Steps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step that was missed in the aforementioned event was that the lack of provision of safety companions for the high-risk patient. Also, the nurse did not provide the patients with alternative solutions that could have made him feel good. Besides, the nurse did not set the safety </w:t>
      </w:r>
      <w:r w:rsidRPr="00544661">
        <w:rPr>
          <w:rFonts w:ascii="Times New Roman" w:hAnsi="Times New Roman" w:cs="Times New Roman"/>
          <w:sz w:val="24"/>
          <w:szCs w:val="24"/>
        </w:rPr>
        <w:lastRenderedPageBreak/>
        <w:t xml:space="preserve">alarms that would have alerted other nurses. Lastly, the hospital management did not do safety rounds in time to prevent the fall.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Preventability of the Event</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event was preventable since the nurse could have given the patient other amicable solutions to help feel better. However, the nurse disregarded him, and he ended up to go out by himself. Also, there were no safety companions, such as surveillance cameras to monitor the patient’s movement. The companions could have a person on the control to determine that a high-risk patient had left his bed.  The nurse also ought to have set the alarm to alert her in case of any movement. Lastly, safety rounds would have enabled the hospital to notice that a patient had left his bed.</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Research on the Impact of Patient Falls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Patient falls in clinical settings impact negatively on the wellbeing of the patients since the latter are likely to sustain injuries that can complicate their health status. For example, patients can have internal bleeding (King et al., 2018). Therefore, the event leads to suboptimal medical outcomes and reduce patient satisfaction. Also, patient falls can lead to increased hospital stay due to the need to treat the conditions associated with the event. Besides, falls have negative impacts on a hospital since it can be subjected to legal litigation. As a result, the hospital is likely to incur expenses on lawsuits, resulting in a negative financial outlook. Overall, patient </w:t>
      </w:r>
      <w:proofErr w:type="gramStart"/>
      <w:r w:rsidRPr="00544661">
        <w:rPr>
          <w:rFonts w:ascii="Times New Roman" w:hAnsi="Times New Roman" w:cs="Times New Roman"/>
          <w:sz w:val="24"/>
          <w:szCs w:val="24"/>
        </w:rPr>
        <w:t>falls</w:t>
      </w:r>
      <w:proofErr w:type="gramEnd"/>
      <w:r w:rsidRPr="00544661">
        <w:rPr>
          <w:rFonts w:ascii="Times New Roman" w:hAnsi="Times New Roman" w:cs="Times New Roman"/>
          <w:sz w:val="24"/>
          <w:szCs w:val="24"/>
        </w:rPr>
        <w:t xml:space="preserve"> adverse effects on nursing practice and the image of healthcare facilities.</w:t>
      </w:r>
    </w:p>
    <w:p w:rsidR="00544661" w:rsidRP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Implications of Patient Falls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Short-Term and Long-Term Effects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From a short-term perspective, patient falls are likely to result in the sustenance of injuries among the patients. Also, patients’ are to be affected mentally since they are likely to be traumatized. Besides, patient falls to reduce the probability of patients being discharged as they had expected; thus, they are likely to be anxious or depressed (</w:t>
      </w:r>
      <w:proofErr w:type="spellStart"/>
      <w:r w:rsidRPr="00544661">
        <w:rPr>
          <w:rFonts w:ascii="Times New Roman" w:hAnsi="Times New Roman" w:cs="Times New Roman"/>
          <w:sz w:val="24"/>
          <w:szCs w:val="24"/>
        </w:rPr>
        <w:t>Heslop</w:t>
      </w:r>
      <w:proofErr w:type="spellEnd"/>
      <w:r w:rsidRPr="00544661">
        <w:rPr>
          <w:rFonts w:ascii="Times New Roman" w:hAnsi="Times New Roman" w:cs="Times New Roman"/>
          <w:sz w:val="24"/>
          <w:szCs w:val="24"/>
        </w:rPr>
        <w:t xml:space="preserve"> &amp; </w:t>
      </w:r>
      <w:proofErr w:type="spellStart"/>
      <w:r w:rsidRPr="00544661">
        <w:rPr>
          <w:rFonts w:ascii="Times New Roman" w:hAnsi="Times New Roman" w:cs="Times New Roman"/>
          <w:sz w:val="24"/>
          <w:szCs w:val="24"/>
        </w:rPr>
        <w:t>Wynaden</w:t>
      </w:r>
      <w:proofErr w:type="spellEnd"/>
      <w:r w:rsidRPr="00544661">
        <w:rPr>
          <w:rFonts w:ascii="Times New Roman" w:hAnsi="Times New Roman" w:cs="Times New Roman"/>
          <w:sz w:val="24"/>
          <w:szCs w:val="24"/>
        </w:rPr>
        <w:t>, 2015). In the long-term, patients can sustain injuries that can be detrimental in the long-term; for example, internal bleeding can cause death if it is unnoticed. Patient falls affect patient families since they are likely to cause financial and psychological distress with the extent of the injuries. In the long-term, the families are likely to sue the hospital in case the event leads to adverse health conditions. The inter-professional team will be affected since they will be held accountable for the fall, and can be penalized for the same. Lastly, the community is likely to develop negative perceptions about the care facility due to negligence. The event was managed by the nearby nurse taking the patient back to his room, and carrying out the necessary assessments and treatment. Afterwards, the incident was reported to the management.</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Utilization of Technology</w:t>
      </w:r>
    </w:p>
    <w:p w:rsidR="00544661" w:rsidRDefault="00544661" w:rsidP="00544661">
      <w:pPr>
        <w:spacing w:line="480" w:lineRule="auto"/>
        <w:ind w:firstLine="720"/>
        <w:rPr>
          <w:rFonts w:ascii="Times New Roman" w:hAnsi="Times New Roman" w:cs="Times New Roman"/>
          <w:sz w:val="24"/>
          <w:szCs w:val="24"/>
        </w:rPr>
      </w:pPr>
      <w:r w:rsidRPr="00544661">
        <w:rPr>
          <w:rFonts w:ascii="Times New Roman" w:hAnsi="Times New Roman" w:cs="Times New Roman"/>
          <w:sz w:val="24"/>
          <w:szCs w:val="24"/>
        </w:rPr>
        <w:t>The technology was not being used appropriately the safety companions such as surveillance cameras and alarm systems were dysfunctional at the time of the fall. Thus, there is a need for a framework for the effective utilization of the technologies.</w:t>
      </w:r>
    </w:p>
    <w:p w:rsid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Integrated Solutions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Other care facilities used integrated solutions that other hospitals use includes having </w:t>
      </w:r>
      <w:proofErr w:type="gramStart"/>
      <w:r w:rsidRPr="00544661">
        <w:rPr>
          <w:rFonts w:ascii="Times New Roman" w:hAnsi="Times New Roman" w:cs="Times New Roman"/>
          <w:sz w:val="24"/>
          <w:szCs w:val="24"/>
        </w:rPr>
        <w:t>technological</w:t>
      </w:r>
      <w:proofErr w:type="gramEnd"/>
      <w:r w:rsidRPr="00544661">
        <w:rPr>
          <w:rFonts w:ascii="Times New Roman" w:hAnsi="Times New Roman" w:cs="Times New Roman"/>
          <w:sz w:val="24"/>
          <w:szCs w:val="24"/>
        </w:rPr>
        <w:t xml:space="preserve"> frameworks that identify and manages the risks associated with the event. Besides, other care facilities offer training to their medical teams on how to use these systems to support knowledge and translation into care settings (Clemson et al., 2017). The patient fall support tools also aid in decision-making since they help determine high-risk patients and the appropriate interventions to be administered.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Relevant Metrics to Promote Quality Improvement</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Salient Data</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data that associated with patient falls in the patient falls within the facility include the frequency of fall, the types of injuries incurred, the nurses responsible for the mitigation of the event, the medications that make patients vulnerable to fall, and the costs incurred after the occurrence of the event.</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Interpretation of the Metrics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data on the frequency of fall will be used to determine how often the event occurs in a bid to make accurate decisions on how it can be mitigated. The data of types of injuries enables healthcare management to determine appropriate interventions to be administered. Also, the data on the care team responsible for the prevention of the event will aid the facility in the training of the medical and nursing personnel. The data on medications that elevate patient falls’ risks will be used to determine better alternatives. Lastly, the cost metric will aid in financial management and profit sustainability.</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Research on External Data</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Data from external institutions include a number of falls per specific number of beds per day, assessment procedures of the event, and support infrastructure. The data differ from internal data since it does not take into account the costs, medications, and types of injuries. Like the internal, the external information also demonstrates the rate of falls and support infrastructure.</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Quality Improvement Initiative</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Management of the Patient Falls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event is now managed through increased emphasis on the effective utilization of safety companions such as surveillance cameras and bed alarm. Nurses are required to set bed alarms always, and the control team personnel are required to monitor high-risk patient beds every time. Also, safety rounds are carried in shifts to ensure that high risks patients are always monitored. Besides, assessments are carried out on medications to determine if they are likely to cause falls.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Solutions from Other Institutions</w:t>
      </w:r>
    </w:p>
    <w:p w:rsid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Other institutions use surveillance systems to monitor patients continuously as well as alarm systems that they notify nursing personnel in case of breach of safety measures. Also, other institutions have integrated information systems that enable data sharing in the assessment of the risks of patient falls.</w:t>
      </w:r>
    </w:p>
    <w:p w:rsid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Previous Quality Improvement Initiatives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High-Reliability Organizations (HRO) has been used in the past due to the numerous safety opportunities that come along with it. The model was successful since it was able to promote sensitivity to clinical operations, simplify certain safety measures, and promote resilience patient falls’ data systems (Quigley &amp; White, 2013).</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Proposed Solutions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hospital should adopt an information system that carries out data analytics of the frequency of falls, assessment of the event, and appropriate events. Also, there should be novel technological surveillance tools to enable monitoring of the patients. Thus, the facility should install more surveillance cameras and ensure that their alarm systems are functional. Lastly, nursing personnel should be trained on how to use the integrated tech system to mitigate patient falls. In this regard, they should be trained on how to use the system to share data on the factors that cause the event. Also, they can share information on how to improve safety levels within the clinical setting with regards to patient falls. </w:t>
      </w:r>
    </w:p>
    <w:p w:rsidR="000E4D25"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w:t>
      </w: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0E4D25" w:rsidRDefault="000E4D25" w:rsidP="000E4D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 xml:space="preserve">Clemson, L., Mackenzie, L., Roberts, C., </w:t>
      </w:r>
      <w:proofErr w:type="spellStart"/>
      <w:r>
        <w:rPr>
          <w:rFonts w:ascii="Times New Roman" w:hAnsi="Times New Roman" w:cs="Times New Roman"/>
          <w:sz w:val="24"/>
          <w:szCs w:val="24"/>
        </w:rPr>
        <w:t>Poulos</w:t>
      </w:r>
      <w:proofErr w:type="spellEnd"/>
      <w:r>
        <w:rPr>
          <w:rFonts w:ascii="Times New Roman" w:hAnsi="Times New Roman" w:cs="Times New Roman"/>
          <w:sz w:val="24"/>
          <w:szCs w:val="24"/>
        </w:rPr>
        <w:t xml:space="preserve">, </w:t>
      </w:r>
      <w:r w:rsidR="002C0E26">
        <w:rPr>
          <w:rFonts w:ascii="Times New Roman" w:hAnsi="Times New Roman" w:cs="Times New Roman"/>
          <w:sz w:val="24"/>
          <w:szCs w:val="24"/>
        </w:rPr>
        <w:t xml:space="preserve">R., Tan, A., </w:t>
      </w:r>
      <w:proofErr w:type="spellStart"/>
      <w:r w:rsidR="002C0E26">
        <w:rPr>
          <w:rFonts w:ascii="Times New Roman" w:hAnsi="Times New Roman" w:cs="Times New Roman"/>
          <w:sz w:val="24"/>
          <w:szCs w:val="24"/>
        </w:rPr>
        <w:t>Lovarini</w:t>
      </w:r>
      <w:proofErr w:type="spellEnd"/>
      <w:r w:rsidR="002C0E26">
        <w:rPr>
          <w:rFonts w:ascii="Times New Roman" w:hAnsi="Times New Roman" w:cs="Times New Roman"/>
          <w:sz w:val="24"/>
          <w:szCs w:val="24"/>
        </w:rPr>
        <w:t>, M.</w:t>
      </w:r>
      <w:proofErr w:type="gramStart"/>
      <w:r w:rsidR="002C0E26">
        <w:rPr>
          <w:rFonts w:ascii="Times New Roman" w:hAnsi="Times New Roman" w:cs="Times New Roman"/>
          <w:sz w:val="24"/>
          <w:szCs w:val="24"/>
        </w:rPr>
        <w:t>,…</w:t>
      </w:r>
      <w:proofErr w:type="gramEnd"/>
      <w:r w:rsidR="002C0E26">
        <w:rPr>
          <w:rFonts w:ascii="Times New Roman" w:hAnsi="Times New Roman" w:cs="Times New Roman"/>
          <w:sz w:val="24"/>
          <w:szCs w:val="24"/>
        </w:rPr>
        <w:t>White, F. (2017).</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Integrated solutions for sustainable fall prevention in primary care, the </w:t>
      </w:r>
      <w:proofErr w:type="spellStart"/>
      <w:r>
        <w:rPr>
          <w:rFonts w:ascii="Times New Roman" w:hAnsi="Times New Roman" w:cs="Times New Roman"/>
          <w:sz w:val="24"/>
          <w:szCs w:val="24"/>
        </w:rPr>
        <w:t>iSOlVE</w:t>
      </w:r>
      <w:proofErr w:type="spellEnd"/>
      <w:r>
        <w:rPr>
          <w:rFonts w:ascii="Times New Roman" w:hAnsi="Times New Roman" w:cs="Times New Roman"/>
          <w:sz w:val="24"/>
          <w:szCs w:val="24"/>
        </w:rPr>
        <w:t xml:space="preserve"> project:</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 type</w:t>
      </w:r>
      <w:proofErr w:type="gramEnd"/>
      <w:r>
        <w:rPr>
          <w:rFonts w:ascii="Times New Roman" w:hAnsi="Times New Roman" w:cs="Times New Roman"/>
          <w:sz w:val="24"/>
          <w:szCs w:val="24"/>
        </w:rPr>
        <w:t xml:space="preserve"> 2 hybrid effectiveness- Implementation Design. Implementation Science, 12(12),</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1-12.</w:t>
      </w:r>
      <w:proofErr w:type="gramEnd"/>
      <w:r>
        <w:rPr>
          <w:rFonts w:ascii="Times New Roman" w:hAnsi="Times New Roman" w:cs="Times New Roman"/>
          <w:sz w:val="24"/>
          <w:szCs w:val="24"/>
        </w:rPr>
        <w:t xml:space="preserve"> </w:t>
      </w:r>
    </w:p>
    <w:p w:rsidR="000E4D25" w:rsidRDefault="000E4D25" w:rsidP="000E4D2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Heslop</w:t>
      </w:r>
      <w:proofErr w:type="spellEnd"/>
      <w:r>
        <w:rPr>
          <w:rFonts w:ascii="Times New Roman" w:hAnsi="Times New Roman" w:cs="Times New Roman"/>
          <w:sz w:val="24"/>
          <w:szCs w:val="24"/>
        </w:rPr>
        <w:t>, R. K. &amp;</w:t>
      </w:r>
      <w:proofErr w:type="spellStart"/>
      <w:r>
        <w:rPr>
          <w:rFonts w:ascii="Times New Roman" w:hAnsi="Times New Roman" w:cs="Times New Roman"/>
          <w:sz w:val="24"/>
          <w:szCs w:val="24"/>
        </w:rPr>
        <w:t>Wynaden</w:t>
      </w:r>
      <w:proofErr w:type="spellEnd"/>
      <w:r>
        <w:rPr>
          <w:rFonts w:ascii="Times New Roman" w:hAnsi="Times New Roman" w:cs="Times New Roman"/>
          <w:sz w:val="24"/>
          <w:szCs w:val="24"/>
        </w:rPr>
        <w:t xml:space="preserve">, G. D. (20150. Impact of falls </w:t>
      </w:r>
      <w:proofErr w:type="spellStart"/>
      <w:r>
        <w:rPr>
          <w:rFonts w:ascii="Times New Roman" w:hAnsi="Times New Roman" w:cs="Times New Roman"/>
          <w:sz w:val="24"/>
          <w:szCs w:val="24"/>
        </w:rPr>
        <w:t>onmental</w:t>
      </w:r>
      <w:proofErr w:type="spellEnd"/>
      <w:r>
        <w:rPr>
          <w:rFonts w:ascii="Times New Roman" w:hAnsi="Times New Roman" w:cs="Times New Roman"/>
          <w:sz w:val="24"/>
          <w:szCs w:val="24"/>
        </w:rPr>
        <w:t xml:space="preserve"> health outcomes for older</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mental</w:t>
      </w:r>
      <w:proofErr w:type="gramEnd"/>
      <w:r>
        <w:rPr>
          <w:rFonts w:ascii="Times New Roman" w:hAnsi="Times New Roman" w:cs="Times New Roman"/>
          <w:sz w:val="24"/>
          <w:szCs w:val="24"/>
        </w:rPr>
        <w:t xml:space="preserve"> health patients: An Australian Study. </w:t>
      </w:r>
      <w:proofErr w:type="gramStart"/>
      <w:r w:rsidRPr="000E4D25">
        <w:rPr>
          <w:rFonts w:ascii="Times New Roman" w:hAnsi="Times New Roman" w:cs="Times New Roman"/>
          <w:i/>
          <w:sz w:val="24"/>
          <w:szCs w:val="24"/>
        </w:rPr>
        <w:t>Wiley Online Library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290021">
          <w:rPr>
            <w:rStyle w:val="Hyperlink"/>
            <w:rFonts w:ascii="Times New Roman" w:hAnsi="Times New Roman" w:cs="Times New Roman"/>
            <w:sz w:val="24"/>
            <w:szCs w:val="24"/>
          </w:rPr>
          <w:t>https://doi.org/10.1111/inm.12164</w:t>
        </w:r>
      </w:hyperlink>
    </w:p>
    <w:p w:rsidR="000E4D25" w:rsidRDefault="000E4D25" w:rsidP="000E4D2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King, B., </w:t>
      </w:r>
      <w:proofErr w:type="spellStart"/>
      <w:r>
        <w:rPr>
          <w:rFonts w:ascii="Times New Roman" w:hAnsi="Times New Roman" w:cs="Times New Roman"/>
          <w:sz w:val="24"/>
          <w:szCs w:val="24"/>
        </w:rPr>
        <w:t>Pecanac</w:t>
      </w:r>
      <w:proofErr w:type="spellEnd"/>
      <w:r>
        <w:rPr>
          <w:rFonts w:ascii="Times New Roman" w:hAnsi="Times New Roman" w:cs="Times New Roman"/>
          <w:sz w:val="24"/>
          <w:szCs w:val="24"/>
        </w:rPr>
        <w:t xml:space="preserve">, K., Krupp, A., </w:t>
      </w:r>
      <w:proofErr w:type="spellStart"/>
      <w:r>
        <w:rPr>
          <w:rFonts w:ascii="Times New Roman" w:hAnsi="Times New Roman" w:cs="Times New Roman"/>
          <w:sz w:val="24"/>
          <w:szCs w:val="24"/>
        </w:rPr>
        <w:t>Liebzeit</w:t>
      </w:r>
      <w:proofErr w:type="spellEnd"/>
      <w:r>
        <w:rPr>
          <w:rFonts w:ascii="Times New Roman" w:hAnsi="Times New Roman" w:cs="Times New Roman"/>
          <w:sz w:val="24"/>
          <w:szCs w:val="24"/>
        </w:rPr>
        <w:t>, D., &amp; Mahoney, J. (2018).</w:t>
      </w:r>
      <w:proofErr w:type="gramEnd"/>
      <w:r>
        <w:rPr>
          <w:rFonts w:ascii="Times New Roman" w:hAnsi="Times New Roman" w:cs="Times New Roman"/>
          <w:sz w:val="24"/>
          <w:szCs w:val="24"/>
        </w:rPr>
        <w:t xml:space="preserve"> Impact of fall </w:t>
      </w:r>
    </w:p>
    <w:p w:rsidR="000E4D25" w:rsidRPr="000E4D25" w:rsidRDefault="000E4D25" w:rsidP="000E4D25">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Prevention on nurses and care of fall risk patients.</w:t>
      </w:r>
      <w:proofErr w:type="gramEnd"/>
      <w:r>
        <w:rPr>
          <w:rFonts w:ascii="Times New Roman" w:hAnsi="Times New Roman" w:cs="Times New Roman"/>
          <w:sz w:val="24"/>
          <w:szCs w:val="24"/>
        </w:rPr>
        <w:t xml:space="preserve"> </w:t>
      </w:r>
      <w:r w:rsidRPr="000E4D25">
        <w:rPr>
          <w:rFonts w:ascii="Times New Roman" w:hAnsi="Times New Roman" w:cs="Times New Roman"/>
          <w:i/>
          <w:sz w:val="24"/>
          <w:szCs w:val="24"/>
        </w:rPr>
        <w:t xml:space="preserve">The </w:t>
      </w:r>
      <w:proofErr w:type="spellStart"/>
      <w:r w:rsidRPr="000E4D25">
        <w:rPr>
          <w:rFonts w:ascii="Times New Roman" w:hAnsi="Times New Roman" w:cs="Times New Roman"/>
          <w:i/>
          <w:sz w:val="24"/>
          <w:szCs w:val="24"/>
        </w:rPr>
        <w:t>Gerontological</w:t>
      </w:r>
      <w:proofErr w:type="spellEnd"/>
      <w:r w:rsidRPr="000E4D25">
        <w:rPr>
          <w:rFonts w:ascii="Times New Roman" w:hAnsi="Times New Roman" w:cs="Times New Roman"/>
          <w:i/>
          <w:sz w:val="24"/>
          <w:szCs w:val="24"/>
        </w:rPr>
        <w:t xml:space="preserve"> Society of</w:t>
      </w:r>
    </w:p>
    <w:p w:rsidR="000E4D25" w:rsidRDefault="000E4D25" w:rsidP="000E4D25">
      <w:pPr>
        <w:spacing w:line="480" w:lineRule="auto"/>
        <w:rPr>
          <w:rFonts w:ascii="Times New Roman" w:hAnsi="Times New Roman" w:cs="Times New Roman"/>
          <w:sz w:val="24"/>
          <w:szCs w:val="24"/>
        </w:rPr>
      </w:pPr>
      <w:r w:rsidRPr="000E4D25">
        <w:rPr>
          <w:rFonts w:ascii="Times New Roman" w:hAnsi="Times New Roman" w:cs="Times New Roman"/>
          <w:i/>
          <w:sz w:val="24"/>
          <w:szCs w:val="24"/>
        </w:rPr>
        <w:tab/>
        <w:t xml:space="preserve">America, </w:t>
      </w:r>
      <w:r>
        <w:rPr>
          <w:rFonts w:ascii="Times New Roman" w:hAnsi="Times New Roman" w:cs="Times New Roman"/>
          <w:sz w:val="24"/>
          <w:szCs w:val="24"/>
        </w:rPr>
        <w:t xml:space="preserve">58(2), 331-340. </w:t>
      </w:r>
    </w:p>
    <w:p w:rsidR="000E4D25" w:rsidRDefault="000E4D25" w:rsidP="000E4D2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Quigley, A. P. &amp; White, V. S. (2013).</w:t>
      </w:r>
      <w:proofErr w:type="gramEnd"/>
      <w:r>
        <w:rPr>
          <w:rFonts w:ascii="Times New Roman" w:hAnsi="Times New Roman" w:cs="Times New Roman"/>
          <w:sz w:val="24"/>
          <w:szCs w:val="24"/>
        </w:rPr>
        <w:t xml:space="preserve"> Hospital-based fall program measurement and</w:t>
      </w:r>
    </w:p>
    <w:p w:rsidR="000E4D25" w:rsidRPr="000E4D25" w:rsidRDefault="000E4D25" w:rsidP="000E4D25">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improvement</w:t>
      </w:r>
      <w:proofErr w:type="gramEnd"/>
      <w:r>
        <w:rPr>
          <w:rFonts w:ascii="Times New Roman" w:hAnsi="Times New Roman" w:cs="Times New Roman"/>
          <w:sz w:val="24"/>
          <w:szCs w:val="24"/>
        </w:rPr>
        <w:t xml:space="preserve"> in high reliability organizations. </w:t>
      </w:r>
      <w:r w:rsidRPr="000E4D25">
        <w:rPr>
          <w:rFonts w:ascii="Times New Roman" w:hAnsi="Times New Roman" w:cs="Times New Roman"/>
          <w:i/>
          <w:sz w:val="24"/>
          <w:szCs w:val="24"/>
        </w:rPr>
        <w:t>A Scholarly Journal of the American</w:t>
      </w:r>
    </w:p>
    <w:p w:rsidR="000E4D25" w:rsidRDefault="000E4D25" w:rsidP="000E4D25">
      <w:pPr>
        <w:spacing w:line="480" w:lineRule="auto"/>
        <w:rPr>
          <w:rFonts w:ascii="Times New Roman" w:hAnsi="Times New Roman" w:cs="Times New Roman"/>
          <w:sz w:val="24"/>
          <w:szCs w:val="24"/>
        </w:rPr>
      </w:pPr>
      <w:r w:rsidRPr="000E4D25">
        <w:rPr>
          <w:rFonts w:ascii="Times New Roman" w:hAnsi="Times New Roman" w:cs="Times New Roman"/>
          <w:i/>
          <w:sz w:val="24"/>
          <w:szCs w:val="24"/>
        </w:rPr>
        <w:tab/>
        <w:t>Nurse Association,</w:t>
      </w:r>
      <w:r>
        <w:rPr>
          <w:rFonts w:ascii="Times New Roman" w:hAnsi="Times New Roman" w:cs="Times New Roman"/>
          <w:sz w:val="24"/>
          <w:szCs w:val="24"/>
        </w:rPr>
        <w:t xml:space="preserve"> 18(1), 1-4. </w:t>
      </w:r>
    </w:p>
    <w:p w:rsidR="00E4320A" w:rsidRDefault="00E4320A" w:rsidP="002975D8">
      <w:pPr>
        <w:spacing w:line="480" w:lineRule="auto"/>
        <w:rPr>
          <w:rFonts w:ascii="Times New Roman" w:hAnsi="Times New Roman" w:cs="Times New Roman"/>
          <w:sz w:val="24"/>
          <w:szCs w:val="24"/>
        </w:rPr>
      </w:pPr>
    </w:p>
    <w:p w:rsidR="003B2C0F" w:rsidRDefault="003B2C0F" w:rsidP="002975D8">
      <w:pPr>
        <w:spacing w:line="480" w:lineRule="auto"/>
        <w:rPr>
          <w:rFonts w:ascii="Times New Roman" w:hAnsi="Times New Roman" w:cs="Times New Roman"/>
          <w:sz w:val="24"/>
          <w:szCs w:val="24"/>
        </w:rPr>
      </w:pPr>
    </w:p>
    <w:p w:rsidR="006B6872" w:rsidRPr="00C11270" w:rsidRDefault="006B6872" w:rsidP="00824663">
      <w:pPr>
        <w:spacing w:line="480" w:lineRule="auto"/>
        <w:rPr>
          <w:rFonts w:ascii="Times New Roman" w:hAnsi="Times New Roman" w:cs="Times New Roman"/>
          <w:sz w:val="24"/>
          <w:szCs w:val="24"/>
        </w:rPr>
      </w:pPr>
      <w:bookmarkStart w:id="0" w:name="_GoBack"/>
      <w:bookmarkEnd w:id="0"/>
    </w:p>
    <w:sectPr w:rsidR="006B6872" w:rsidRPr="00C11270" w:rsidSect="00C112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F66" w:rsidRDefault="008B7F66" w:rsidP="00C11270">
      <w:pPr>
        <w:spacing w:after="0" w:line="240" w:lineRule="auto"/>
      </w:pPr>
      <w:r>
        <w:separator/>
      </w:r>
    </w:p>
  </w:endnote>
  <w:endnote w:type="continuationSeparator" w:id="0">
    <w:p w:rsidR="008B7F66" w:rsidRDefault="008B7F66" w:rsidP="00C11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F66" w:rsidRDefault="008B7F66" w:rsidP="00C11270">
      <w:pPr>
        <w:spacing w:after="0" w:line="240" w:lineRule="auto"/>
      </w:pPr>
      <w:r>
        <w:separator/>
      </w:r>
    </w:p>
  </w:footnote>
  <w:footnote w:type="continuationSeparator" w:id="0">
    <w:p w:rsidR="008B7F66" w:rsidRDefault="008B7F66" w:rsidP="00C11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270" w:rsidRPr="00C11270" w:rsidRDefault="00C11270" w:rsidP="00C11270">
    <w:pPr>
      <w:pStyle w:val="Header"/>
      <w:spacing w:line="480" w:lineRule="auto"/>
      <w:rPr>
        <w:rFonts w:ascii="Times New Roman" w:hAnsi="Times New Roman" w:cs="Times New Roman"/>
        <w:sz w:val="24"/>
        <w:szCs w:val="24"/>
      </w:rPr>
    </w:pPr>
    <w:r w:rsidRPr="00C11270">
      <w:rPr>
        <w:rFonts w:ascii="Times New Roman" w:hAnsi="Times New Roman" w:cs="Times New Roman"/>
        <w:sz w:val="24"/>
        <w:szCs w:val="24"/>
      </w:rPr>
      <w:t xml:space="preserve">QUALITY IMPROVEMENT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2831182"/>
        <w:docPartObj>
          <w:docPartGallery w:val="Page Numbers (Top of Page)"/>
          <w:docPartUnique/>
        </w:docPartObj>
      </w:sdtPr>
      <w:sdtEndPr>
        <w:rPr>
          <w:noProof/>
        </w:rPr>
      </w:sdtEndPr>
      <w:sdtContent>
        <w:r w:rsidRPr="00C11270">
          <w:rPr>
            <w:rFonts w:ascii="Times New Roman" w:hAnsi="Times New Roman" w:cs="Times New Roman"/>
            <w:sz w:val="24"/>
            <w:szCs w:val="24"/>
          </w:rPr>
          <w:fldChar w:fldCharType="begin"/>
        </w:r>
        <w:r w:rsidRPr="00C11270">
          <w:rPr>
            <w:rFonts w:ascii="Times New Roman" w:hAnsi="Times New Roman" w:cs="Times New Roman"/>
            <w:sz w:val="24"/>
            <w:szCs w:val="24"/>
          </w:rPr>
          <w:instrText xml:space="preserve"> PAGE   \* MERGEFORMAT </w:instrText>
        </w:r>
        <w:r w:rsidRPr="00C11270">
          <w:rPr>
            <w:rFonts w:ascii="Times New Roman" w:hAnsi="Times New Roman" w:cs="Times New Roman"/>
            <w:sz w:val="24"/>
            <w:szCs w:val="24"/>
          </w:rPr>
          <w:fldChar w:fldCharType="separate"/>
        </w:r>
        <w:r w:rsidR="00544661">
          <w:rPr>
            <w:rFonts w:ascii="Times New Roman" w:hAnsi="Times New Roman" w:cs="Times New Roman"/>
            <w:noProof/>
            <w:sz w:val="24"/>
            <w:szCs w:val="24"/>
          </w:rPr>
          <w:t>8</w:t>
        </w:r>
        <w:r w:rsidRPr="00C11270">
          <w:rPr>
            <w:rFonts w:ascii="Times New Roman" w:hAnsi="Times New Roman" w:cs="Times New Roman"/>
            <w:noProof/>
            <w:sz w:val="24"/>
            <w:szCs w:val="24"/>
          </w:rPr>
          <w:fldChar w:fldCharType="end"/>
        </w:r>
      </w:sdtContent>
    </w:sdt>
  </w:p>
  <w:p w:rsidR="00C11270" w:rsidRDefault="00C11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270" w:rsidRDefault="00C11270" w:rsidP="00C11270">
    <w:pPr>
      <w:pStyle w:val="Header"/>
      <w:spacing w:line="480" w:lineRule="auto"/>
    </w:pPr>
    <w:r w:rsidRPr="00C11270">
      <w:rPr>
        <w:rFonts w:ascii="Times New Roman" w:hAnsi="Times New Roman" w:cs="Times New Roman"/>
        <w:sz w:val="24"/>
        <w:szCs w:val="24"/>
      </w:rPr>
      <w:t xml:space="preserve">Running head: QUALITY IMPROVEMENT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31982158"/>
        <w:docPartObj>
          <w:docPartGallery w:val="Page Numbers (Top of Page)"/>
          <w:docPartUnique/>
        </w:docPartObj>
      </w:sdtPr>
      <w:sdtEndPr>
        <w:rPr>
          <w:rFonts w:asciiTheme="minorHAnsi" w:hAnsiTheme="minorHAnsi" w:cstheme="minorBidi"/>
          <w:noProof/>
          <w:sz w:val="22"/>
          <w:szCs w:val="22"/>
        </w:rPr>
      </w:sdtEndPr>
      <w:sdtContent>
        <w:r w:rsidRPr="00C11270">
          <w:rPr>
            <w:rFonts w:ascii="Times New Roman" w:hAnsi="Times New Roman" w:cs="Times New Roman"/>
            <w:sz w:val="24"/>
            <w:szCs w:val="24"/>
          </w:rPr>
          <w:fldChar w:fldCharType="begin"/>
        </w:r>
        <w:r w:rsidRPr="00C11270">
          <w:rPr>
            <w:rFonts w:ascii="Times New Roman" w:hAnsi="Times New Roman" w:cs="Times New Roman"/>
            <w:sz w:val="24"/>
            <w:szCs w:val="24"/>
          </w:rPr>
          <w:instrText xml:space="preserve"> PAGE   \* MERGEFORMAT </w:instrText>
        </w:r>
        <w:r w:rsidRPr="00C11270">
          <w:rPr>
            <w:rFonts w:ascii="Times New Roman" w:hAnsi="Times New Roman" w:cs="Times New Roman"/>
            <w:sz w:val="24"/>
            <w:szCs w:val="24"/>
          </w:rPr>
          <w:fldChar w:fldCharType="separate"/>
        </w:r>
        <w:r w:rsidR="00544661">
          <w:rPr>
            <w:rFonts w:ascii="Times New Roman" w:hAnsi="Times New Roman" w:cs="Times New Roman"/>
            <w:noProof/>
            <w:sz w:val="24"/>
            <w:szCs w:val="24"/>
          </w:rPr>
          <w:t>1</w:t>
        </w:r>
        <w:r w:rsidRPr="00C11270">
          <w:rPr>
            <w:rFonts w:ascii="Times New Roman" w:hAnsi="Times New Roman" w:cs="Times New Roman"/>
            <w:noProof/>
            <w:sz w:val="24"/>
            <w:szCs w:val="24"/>
          </w:rPr>
          <w:fldChar w:fldCharType="end"/>
        </w:r>
      </w:sdtContent>
    </w:sdt>
  </w:p>
  <w:p w:rsidR="00C11270" w:rsidRDefault="00C11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270"/>
    <w:rsid w:val="0002223E"/>
    <w:rsid w:val="000E4D25"/>
    <w:rsid w:val="000F15C4"/>
    <w:rsid w:val="000F72A6"/>
    <w:rsid w:val="001B4F0A"/>
    <w:rsid w:val="002975D8"/>
    <w:rsid w:val="002C0E26"/>
    <w:rsid w:val="003B2C0F"/>
    <w:rsid w:val="00544661"/>
    <w:rsid w:val="00653AF3"/>
    <w:rsid w:val="006B6872"/>
    <w:rsid w:val="0071669E"/>
    <w:rsid w:val="00824663"/>
    <w:rsid w:val="008B7F66"/>
    <w:rsid w:val="009C058F"/>
    <w:rsid w:val="00C11270"/>
    <w:rsid w:val="00E4320A"/>
    <w:rsid w:val="00EC1C46"/>
    <w:rsid w:val="00FA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70"/>
  </w:style>
  <w:style w:type="paragraph" w:styleId="Footer">
    <w:name w:val="footer"/>
    <w:basedOn w:val="Normal"/>
    <w:link w:val="FooterChar"/>
    <w:uiPriority w:val="99"/>
    <w:unhideWhenUsed/>
    <w:rsid w:val="00C11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70"/>
  </w:style>
  <w:style w:type="character" w:styleId="Hyperlink">
    <w:name w:val="Hyperlink"/>
    <w:basedOn w:val="DefaultParagraphFont"/>
    <w:uiPriority w:val="99"/>
    <w:unhideWhenUsed/>
    <w:rsid w:val="000E4D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70"/>
  </w:style>
  <w:style w:type="paragraph" w:styleId="Footer">
    <w:name w:val="footer"/>
    <w:basedOn w:val="Normal"/>
    <w:link w:val="FooterChar"/>
    <w:uiPriority w:val="99"/>
    <w:unhideWhenUsed/>
    <w:rsid w:val="00C11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70"/>
  </w:style>
  <w:style w:type="character" w:styleId="Hyperlink">
    <w:name w:val="Hyperlink"/>
    <w:basedOn w:val="DefaultParagraphFont"/>
    <w:uiPriority w:val="99"/>
    <w:unhideWhenUsed/>
    <w:rsid w:val="000E4D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11/inm.1216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8</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2020-05-07T07:40:00Z</dcterms:created>
  <dcterms:modified xsi:type="dcterms:W3CDTF">2020-05-07T17:01:00Z</dcterms:modified>
</cp:coreProperties>
</file>